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573" w:rsidRPr="00661A64" w:rsidRDefault="00732573" w:rsidP="00734CA0">
      <w:pPr>
        <w:tabs>
          <w:tab w:val="right" w:leader="underscore" w:pos="8931"/>
        </w:tabs>
        <w:spacing w:line="360" w:lineRule="auto"/>
        <w:contextualSpacing/>
        <w:rPr>
          <w:rFonts w:cs="Arial"/>
          <w:b/>
          <w:smallCaps/>
          <w:szCs w:val="22"/>
        </w:rPr>
      </w:pPr>
      <w:r w:rsidRPr="00661A64">
        <w:rPr>
          <w:rFonts w:cs="Arial"/>
          <w:b/>
          <w:smallCaps/>
          <w:szCs w:val="22"/>
        </w:rPr>
        <w:t>Vreemde-talendidactiek in veertig (en meer) werkbladen</w:t>
      </w:r>
    </w:p>
    <w:p w:rsidR="00732573" w:rsidRPr="00661A64" w:rsidRDefault="00732573" w:rsidP="00734CA0">
      <w:pPr>
        <w:tabs>
          <w:tab w:val="right" w:leader="underscore" w:pos="8931"/>
        </w:tabs>
        <w:spacing w:line="360" w:lineRule="auto"/>
        <w:contextualSpacing/>
        <w:rPr>
          <w:rFonts w:cs="Arial"/>
          <w:b/>
          <w:smallCaps/>
          <w:szCs w:val="22"/>
        </w:rPr>
      </w:pPr>
      <w:r w:rsidRPr="00661A64">
        <w:rPr>
          <w:rFonts w:cs="Arial"/>
          <w:b/>
          <w:smallCaps/>
          <w:szCs w:val="22"/>
        </w:rPr>
        <w:t xml:space="preserve">Hoofdstuk </w:t>
      </w:r>
      <w:r>
        <w:rPr>
          <w:rFonts w:cs="Arial"/>
          <w:b/>
          <w:smallCaps/>
          <w:szCs w:val="22"/>
        </w:rPr>
        <w:t>3</w:t>
      </w:r>
      <w:r w:rsidRPr="00661A64">
        <w:rPr>
          <w:rFonts w:cs="Arial"/>
          <w:b/>
          <w:smallCaps/>
          <w:szCs w:val="22"/>
        </w:rPr>
        <w:t xml:space="preserve"> – </w:t>
      </w:r>
      <w:r>
        <w:rPr>
          <w:rFonts w:cs="Arial"/>
          <w:b/>
          <w:smallCaps/>
          <w:szCs w:val="22"/>
        </w:rPr>
        <w:t>Taakgericht taalonderwijs</w:t>
      </w:r>
    </w:p>
    <w:p w:rsidR="000F7BE2" w:rsidRPr="009A6E55" w:rsidRDefault="00732573" w:rsidP="00734CA0">
      <w:pPr>
        <w:spacing w:line="360" w:lineRule="auto"/>
        <w:contextualSpacing/>
        <w:rPr>
          <w:rFonts w:cs="Arial"/>
          <w:szCs w:val="22"/>
        </w:rPr>
      </w:pPr>
      <w:r>
        <w:rPr>
          <w:rFonts w:cs="Arial"/>
          <w:b/>
          <w:szCs w:val="22"/>
        </w:rPr>
        <w:t xml:space="preserve">§ </w:t>
      </w:r>
      <w:r w:rsidR="000F7BE2">
        <w:rPr>
          <w:rFonts w:cs="Arial"/>
          <w:b/>
          <w:smallCaps/>
          <w:szCs w:val="22"/>
        </w:rPr>
        <w:t>3</w:t>
      </w:r>
      <w:r w:rsidR="00286D4E">
        <w:rPr>
          <w:rFonts w:cs="Arial"/>
          <w:b/>
          <w:smallCaps/>
          <w:szCs w:val="22"/>
        </w:rPr>
        <w:t>.2</w:t>
      </w:r>
      <w:r w:rsidR="000F7BE2" w:rsidRPr="009A6E55">
        <w:rPr>
          <w:rFonts w:cs="Arial"/>
          <w:b/>
          <w:smallCaps/>
          <w:szCs w:val="22"/>
        </w:rPr>
        <w:t xml:space="preserve"> Suggesties voor het gebruik van de werkbladen</w:t>
      </w:r>
    </w:p>
    <w:p w:rsidR="00734CA0" w:rsidRDefault="00734CA0" w:rsidP="00734CA0">
      <w:pPr>
        <w:pStyle w:val="Standaard1"/>
        <w:spacing w:line="360" w:lineRule="auto"/>
        <w:contextualSpacing/>
        <w:rPr>
          <w:rFonts w:ascii="Arial" w:hAnsi="Arial" w:cs="Arial"/>
          <w:sz w:val="22"/>
          <w:szCs w:val="22"/>
        </w:rPr>
      </w:pPr>
    </w:p>
    <w:p w:rsidR="00734CA0" w:rsidRPr="004E561C" w:rsidRDefault="00734CA0" w:rsidP="00734CA0">
      <w:pPr>
        <w:pStyle w:val="Standaard1"/>
        <w:spacing w:line="360" w:lineRule="auto"/>
        <w:rPr>
          <w:rFonts w:ascii="Arial" w:hAnsi="Arial" w:cs="Arial"/>
          <w:sz w:val="22"/>
          <w:szCs w:val="22"/>
        </w:rPr>
      </w:pPr>
      <w:r w:rsidRPr="004E561C">
        <w:rPr>
          <w:rFonts w:ascii="Arial" w:hAnsi="Arial" w:cs="Arial"/>
          <w:sz w:val="22"/>
          <w:szCs w:val="22"/>
        </w:rPr>
        <w:t xml:space="preserve">In deze paragraaf vindt u suggesties voor het gebruik van de werkbladen van § 3.3 in een werkcollege van circa anderhalf uur. We gaan ervan uit dat de studenten voorafgaand aan dit college een inleidende studietekst over de taakgerichte benadering bestudeerd hebben (bijvoorbeeld § 3.1 of Nunan, 2004 - </w:t>
      </w:r>
      <w:r w:rsidRPr="004E561C">
        <w:rPr>
          <w:rFonts w:ascii="Arial" w:hAnsi="Arial" w:cs="Arial"/>
          <w:i/>
          <w:sz w:val="22"/>
          <w:szCs w:val="22"/>
        </w:rPr>
        <w:t>Chapter 1: What is task-based language teaching?</w:t>
      </w:r>
      <w:r w:rsidRPr="004E561C">
        <w:rPr>
          <w:rFonts w:ascii="Arial" w:hAnsi="Arial" w:cs="Arial"/>
          <w:sz w:val="22"/>
          <w:szCs w:val="22"/>
        </w:rPr>
        <w:t xml:space="preserve">). </w:t>
      </w:r>
    </w:p>
    <w:p w:rsidR="00734CA0" w:rsidRPr="004E561C" w:rsidRDefault="00734CA0" w:rsidP="00734CA0">
      <w:pPr>
        <w:spacing w:line="360" w:lineRule="auto"/>
        <w:rPr>
          <w:rFonts w:cs="Arial"/>
          <w:szCs w:val="22"/>
        </w:rPr>
      </w:pPr>
    </w:p>
    <w:p w:rsidR="00734CA0" w:rsidRPr="004E561C" w:rsidRDefault="00734CA0" w:rsidP="00734CA0">
      <w:pPr>
        <w:spacing w:line="360" w:lineRule="auto"/>
        <w:rPr>
          <w:rFonts w:cs="Arial"/>
          <w:szCs w:val="22"/>
        </w:rPr>
      </w:pPr>
      <w:r w:rsidRPr="004E561C">
        <w:rPr>
          <w:rFonts w:cs="Arial"/>
          <w:szCs w:val="22"/>
        </w:rPr>
        <w:t>(Ca. 10’) Als uitgangspunt voor een inleidend groepsgesprek over ervaringen van de studenten met het werken volgens een PPP-model kan de ervaring van de lerares in opleiding gebruikt worden die geciteerd wordt aan het begin van § 3.1 (”Op een grammaticale aanbreng volgen steeds een heleboel oefeningen. Na een bepaald aantal reproductieve oefeningen moeten de leerlingen de grammaticale structuur proberen te integreren op een productieve, creatieve manier in nieuwe natuurlijkere communicatieve situaties [bijvoorbeeld in een schrijf- of spreekoefening]. Het lijkt alsof de cirkel op dat moment compleet is en de leerling de nieuwe regel goed zal toepassen. Dat is echter niet het geval”). In hoeverre delen de studenten deze ervaring? En in hoeverre delen zij de ervaring dat bij leerlingen in de bovenbouw “blijkt dat veel van de sterk sturend aangeboden taalelementen van de onderbouw nog niet ‘zitten’?” (Kwakernaak, 2009, p. 107). Aansluitend op deze gedachtewisseling kan de vakdidactiekdocent de taakgerichte benadering aankaarten als mogelijk alternatief voor het lesgeven volgens een PPP-model.</w:t>
      </w:r>
    </w:p>
    <w:p w:rsidR="00734CA0" w:rsidRPr="004E561C" w:rsidRDefault="00734CA0" w:rsidP="00734CA0">
      <w:pPr>
        <w:spacing w:line="360" w:lineRule="auto"/>
        <w:rPr>
          <w:rFonts w:cs="Arial"/>
          <w:szCs w:val="22"/>
        </w:rPr>
      </w:pPr>
    </w:p>
    <w:p w:rsidR="00734CA0" w:rsidRPr="004E561C" w:rsidRDefault="00734CA0" w:rsidP="00734CA0">
      <w:pPr>
        <w:spacing w:line="360" w:lineRule="auto"/>
        <w:rPr>
          <w:rFonts w:cs="Arial"/>
          <w:szCs w:val="22"/>
        </w:rPr>
      </w:pPr>
      <w:r w:rsidRPr="004E561C">
        <w:rPr>
          <w:rFonts w:cs="Arial"/>
          <w:szCs w:val="22"/>
        </w:rPr>
        <w:t xml:space="preserve">(Ca. 30’) </w:t>
      </w:r>
      <w:r w:rsidRPr="004E561C">
        <w:rPr>
          <w:rFonts w:cs="Arial"/>
          <w:szCs w:val="22"/>
          <w:u w:val="single"/>
        </w:rPr>
        <w:t>Werkblad 3.3.1</w:t>
      </w:r>
    </w:p>
    <w:p w:rsidR="00734CA0" w:rsidRPr="004E561C" w:rsidRDefault="00734CA0" w:rsidP="00734CA0">
      <w:pPr>
        <w:spacing w:line="360" w:lineRule="auto"/>
        <w:rPr>
          <w:rFonts w:cs="Arial"/>
          <w:szCs w:val="22"/>
        </w:rPr>
      </w:pPr>
      <w:r w:rsidRPr="004E561C">
        <w:rPr>
          <w:rFonts w:cs="Arial"/>
          <w:szCs w:val="22"/>
        </w:rPr>
        <w:t>In dit werkblad gaat het erom dat de studenten veel voorbeelden van taken leren kennen. Daarnaast gaat het om eisen waaraan taken moeten voldoen om leerzaam te zijn (zie bijvoorbeeld § 3.1). De studenten grasduinen eerst individueel op de website met leerzame activiteiten, ontworpen door de CPS-Doorontwikkelgroep Taalportfolio (</w:t>
      </w:r>
      <w:hyperlink r:id="rId4" w:history="1">
        <w:r w:rsidRPr="004E561C">
          <w:rPr>
            <w:rStyle w:val="Hyperlink"/>
            <w:rFonts w:cs="Arial"/>
            <w:szCs w:val="22"/>
          </w:rPr>
          <w:t>www.docstoc.com/docs/32909565/taken-leerzame-activiteiten</w:t>
        </w:r>
      </w:hyperlink>
      <w:r w:rsidRPr="004E561C">
        <w:rPr>
          <w:rFonts w:cs="Arial"/>
          <w:szCs w:val="22"/>
        </w:rPr>
        <w:t xml:space="preserve">). Zij kiezen er één taak uit die volgens hen bijzonder leerzaam is en noteren de criteria die zij bij hun keuze hanteren. Als tweede stap volgt een uitwisseling in kleine groepen over criteria die bepalend zijn voor de leerzaamheid van taken. In een plenaire afsluiting worden de criteria geïnventariseerd (op </w:t>
      </w:r>
      <w:r w:rsidRPr="004E561C">
        <w:rPr>
          <w:rFonts w:cs="Arial"/>
          <w:i/>
          <w:szCs w:val="22"/>
        </w:rPr>
        <w:t>white-board</w:t>
      </w:r>
      <w:r w:rsidRPr="004E561C">
        <w:rPr>
          <w:rFonts w:cs="Arial"/>
          <w:szCs w:val="22"/>
        </w:rPr>
        <w:t xml:space="preserve"> of </w:t>
      </w:r>
      <w:r w:rsidRPr="004E561C">
        <w:rPr>
          <w:rFonts w:cs="Arial"/>
          <w:i/>
          <w:szCs w:val="22"/>
        </w:rPr>
        <w:t>flip-over</w:t>
      </w:r>
      <w:r w:rsidRPr="004E561C">
        <w:rPr>
          <w:rFonts w:cs="Arial"/>
          <w:szCs w:val="22"/>
        </w:rPr>
        <w:t>) en gerelateerd aan criteria die in de vakliteratuur te vinden zijn (zie § 3.1). Het gaat om criteria als: levensecht; betekenisgericht; taal leren door de taal te gebruiken voor communicatieve doelen; de taak lokt cognitief handelen uit; waardevol eindproduct; vaardigheden in combinatie met elkaar; ...</w:t>
      </w:r>
    </w:p>
    <w:p w:rsidR="00734CA0" w:rsidRPr="004E561C" w:rsidRDefault="00734CA0" w:rsidP="00734CA0">
      <w:pPr>
        <w:spacing w:line="360" w:lineRule="auto"/>
        <w:rPr>
          <w:rFonts w:cs="Arial"/>
          <w:szCs w:val="22"/>
        </w:rPr>
      </w:pPr>
    </w:p>
    <w:p w:rsidR="00734CA0" w:rsidRPr="004E561C" w:rsidRDefault="00734CA0" w:rsidP="00734CA0">
      <w:pPr>
        <w:spacing w:line="360" w:lineRule="auto"/>
        <w:rPr>
          <w:rFonts w:cs="Arial"/>
          <w:szCs w:val="22"/>
        </w:rPr>
      </w:pPr>
      <w:r w:rsidRPr="004E561C">
        <w:rPr>
          <w:rFonts w:cs="Arial"/>
          <w:szCs w:val="22"/>
        </w:rPr>
        <w:lastRenderedPageBreak/>
        <w:t xml:space="preserve">(Ca. 45’) </w:t>
      </w:r>
      <w:r w:rsidRPr="004E561C">
        <w:rPr>
          <w:rFonts w:cs="Arial"/>
          <w:szCs w:val="22"/>
          <w:u w:val="single"/>
        </w:rPr>
        <w:t>Werkblad 3.3.2</w:t>
      </w:r>
    </w:p>
    <w:p w:rsidR="00734CA0" w:rsidRPr="004E561C" w:rsidRDefault="00734CA0" w:rsidP="00734CA0">
      <w:pPr>
        <w:spacing w:line="360" w:lineRule="auto"/>
        <w:rPr>
          <w:rFonts w:cs="Arial"/>
          <w:szCs w:val="22"/>
        </w:rPr>
      </w:pPr>
      <w:r w:rsidRPr="004E561C">
        <w:rPr>
          <w:rFonts w:cs="Arial"/>
          <w:szCs w:val="22"/>
        </w:rPr>
        <w:t xml:space="preserve">Aan de hand van dit werkblad maken de studenten in tweetallen een eerste opzet voor een takensequentie. Zij maken zo kennis met een gestructureerde procedure voor het ontwerpen van taaksequenties. Als afsluiting bekijken zij elkaars posters en geven zij elkaar feedback op punten als: levensechtheid, leerzaamheid van de activiteiten e.d. </w:t>
      </w:r>
    </w:p>
    <w:p w:rsidR="00734CA0" w:rsidRPr="004E561C" w:rsidRDefault="00734CA0" w:rsidP="00734CA0">
      <w:pPr>
        <w:spacing w:line="360" w:lineRule="auto"/>
        <w:rPr>
          <w:rFonts w:cs="Arial"/>
          <w:szCs w:val="22"/>
        </w:rPr>
      </w:pPr>
      <w:r w:rsidRPr="004E561C">
        <w:rPr>
          <w:rFonts w:cs="Arial"/>
          <w:szCs w:val="22"/>
        </w:rPr>
        <w:t xml:space="preserve">Tevens is een terugblik en evaluatie geboden op de gevolgde procedure (een onderwerp kiezen, brainstormen over mogelijke deeltaken aan de hand van de </w:t>
      </w:r>
      <w:r w:rsidRPr="004E561C">
        <w:rPr>
          <w:rFonts w:cs="Arial"/>
          <w:i/>
          <w:szCs w:val="22"/>
        </w:rPr>
        <w:t>task-generator</w:t>
      </w:r>
      <w:r w:rsidRPr="004E561C">
        <w:rPr>
          <w:rFonts w:cs="Arial"/>
          <w:szCs w:val="22"/>
        </w:rPr>
        <w:t xml:space="preserve">, bepalen wat het eindproduct moet zijn): hoe bruikbaar is deze procedure? </w:t>
      </w:r>
    </w:p>
    <w:p w:rsidR="00734CA0" w:rsidRPr="004E561C" w:rsidRDefault="00734CA0" w:rsidP="00734CA0">
      <w:pPr>
        <w:spacing w:line="360" w:lineRule="auto"/>
        <w:rPr>
          <w:rFonts w:cs="Arial"/>
          <w:szCs w:val="22"/>
        </w:rPr>
      </w:pPr>
      <w:r w:rsidRPr="004E561C">
        <w:rPr>
          <w:rFonts w:cs="Arial"/>
          <w:szCs w:val="22"/>
        </w:rPr>
        <w:t>Het werkcollege kan afgesloten worden met een gedachtewisseling over de vraag in hoeverre taakgericht onderwijs een aantrekkelijk en werkbaar alternatief biedt voor de PPP-aanpak.</w:t>
      </w:r>
    </w:p>
    <w:p w:rsidR="00734CA0" w:rsidRPr="004E561C" w:rsidRDefault="00734CA0" w:rsidP="00734CA0">
      <w:pPr>
        <w:spacing w:line="360" w:lineRule="auto"/>
        <w:rPr>
          <w:rFonts w:cs="Arial"/>
          <w:szCs w:val="22"/>
        </w:rPr>
      </w:pPr>
    </w:p>
    <w:p w:rsidR="00734CA0" w:rsidRPr="004E561C" w:rsidRDefault="00734CA0" w:rsidP="00734CA0">
      <w:pPr>
        <w:spacing w:line="360" w:lineRule="auto"/>
        <w:rPr>
          <w:rFonts w:cs="Arial"/>
          <w:szCs w:val="22"/>
        </w:rPr>
      </w:pPr>
      <w:r w:rsidRPr="004E561C">
        <w:rPr>
          <w:rFonts w:cs="Arial"/>
          <w:b/>
          <w:szCs w:val="22"/>
        </w:rPr>
        <w:t>Variant</w:t>
      </w:r>
    </w:p>
    <w:p w:rsidR="00DE39B8" w:rsidRPr="000F7BE2" w:rsidRDefault="00734CA0" w:rsidP="00734CA0">
      <w:pPr>
        <w:spacing w:line="360" w:lineRule="auto"/>
        <w:rPr>
          <w:rFonts w:cs="Arial"/>
          <w:szCs w:val="22"/>
        </w:rPr>
      </w:pPr>
      <w:r w:rsidRPr="004E561C">
        <w:rPr>
          <w:rFonts w:cs="Arial"/>
          <w:szCs w:val="22"/>
        </w:rPr>
        <w:t xml:space="preserve">In de plaats van werkblad 3.3.1 kan eventueel gewerkt worden met </w:t>
      </w:r>
      <w:r w:rsidRPr="004E561C">
        <w:rPr>
          <w:rFonts w:cs="Arial"/>
          <w:szCs w:val="22"/>
          <w:u w:val="single"/>
        </w:rPr>
        <w:t xml:space="preserve">werkblad 3.3.3 </w:t>
      </w:r>
      <w:r w:rsidRPr="004E561C">
        <w:rPr>
          <w:rFonts w:cs="Arial"/>
          <w:szCs w:val="22"/>
        </w:rPr>
        <w:t>(</w:t>
      </w:r>
      <w:r w:rsidRPr="004E561C">
        <w:rPr>
          <w:rFonts w:cs="Arial"/>
          <w:szCs w:val="22"/>
        </w:rPr>
        <w:sym w:font="Symbol" w:char="F0AE"/>
      </w:r>
      <w:r w:rsidRPr="004E561C">
        <w:rPr>
          <w:rFonts w:cs="Arial"/>
          <w:szCs w:val="22"/>
        </w:rPr>
        <w:t xml:space="preserve"> Repository). Dit werkblad focust eveneens op eisen waaraan taken moeten voldoen, maar hier ontbreekt de kennismaking met een breed scala aan taken die deel uitmaakt van werkblad 3.3.1.</w:t>
      </w:r>
    </w:p>
    <w:sectPr w:rsidR="00DE39B8" w:rsidRPr="000F7BE2" w:rsidSect="00DE3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12pt">
    <w:altName w:val="Book Antiqu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1"/>
  <w:defaultTabStop w:val="708"/>
  <w:hyphenationZone w:val="425"/>
  <w:characterSpacingControl w:val="doNotCompress"/>
  <w:compat/>
  <w:rsids>
    <w:rsidRoot w:val="000F7BE2"/>
    <w:rsid w:val="00016788"/>
    <w:rsid w:val="00022F97"/>
    <w:rsid w:val="000B7EC8"/>
    <w:rsid w:val="000D0214"/>
    <w:rsid w:val="000F7BE2"/>
    <w:rsid w:val="001240AE"/>
    <w:rsid w:val="00233459"/>
    <w:rsid w:val="00286D4E"/>
    <w:rsid w:val="002E340A"/>
    <w:rsid w:val="00387DD5"/>
    <w:rsid w:val="003C0B09"/>
    <w:rsid w:val="003C4F36"/>
    <w:rsid w:val="003E6CED"/>
    <w:rsid w:val="00402528"/>
    <w:rsid w:val="00404309"/>
    <w:rsid w:val="0043027F"/>
    <w:rsid w:val="004A5A73"/>
    <w:rsid w:val="00504FBB"/>
    <w:rsid w:val="00520434"/>
    <w:rsid w:val="005216E3"/>
    <w:rsid w:val="0057238A"/>
    <w:rsid w:val="005D31B6"/>
    <w:rsid w:val="00643249"/>
    <w:rsid w:val="00656F33"/>
    <w:rsid w:val="006A5395"/>
    <w:rsid w:val="00732573"/>
    <w:rsid w:val="00734CA0"/>
    <w:rsid w:val="00737648"/>
    <w:rsid w:val="00876D4C"/>
    <w:rsid w:val="009023D9"/>
    <w:rsid w:val="009E00DC"/>
    <w:rsid w:val="00A247D3"/>
    <w:rsid w:val="00A504A2"/>
    <w:rsid w:val="00A54DE7"/>
    <w:rsid w:val="00A7274B"/>
    <w:rsid w:val="00AB2407"/>
    <w:rsid w:val="00AD5DDB"/>
    <w:rsid w:val="00AE74AB"/>
    <w:rsid w:val="00BA1182"/>
    <w:rsid w:val="00C06362"/>
    <w:rsid w:val="00C600AF"/>
    <w:rsid w:val="00C64CD2"/>
    <w:rsid w:val="00C85AE9"/>
    <w:rsid w:val="00CD6312"/>
    <w:rsid w:val="00CE7E7D"/>
    <w:rsid w:val="00D07E44"/>
    <w:rsid w:val="00D10BB5"/>
    <w:rsid w:val="00D349D6"/>
    <w:rsid w:val="00D7036D"/>
    <w:rsid w:val="00D936BD"/>
    <w:rsid w:val="00DC101F"/>
    <w:rsid w:val="00DE0802"/>
    <w:rsid w:val="00DE39B8"/>
    <w:rsid w:val="00F70C12"/>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F7BE2"/>
    <w:pPr>
      <w:spacing w:after="0" w:line="240" w:lineRule="auto"/>
    </w:pPr>
    <w:rPr>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 w:type="character" w:styleId="Hyperlink">
    <w:name w:val="Hyperlink"/>
    <w:basedOn w:val="Standaardalinea-lettertype"/>
    <w:uiPriority w:val="99"/>
    <w:unhideWhenUsed/>
    <w:rsid w:val="000F7BE2"/>
    <w:rPr>
      <w:color w:val="0000FF"/>
      <w:u w:val="single"/>
    </w:rPr>
  </w:style>
  <w:style w:type="paragraph" w:customStyle="1" w:styleId="Standaard1">
    <w:name w:val="Standaard1"/>
    <w:rsid w:val="000F7BE2"/>
    <w:pPr>
      <w:widowControl w:val="0"/>
      <w:overflowPunct w:val="0"/>
      <w:autoSpaceDE w:val="0"/>
      <w:autoSpaceDN w:val="0"/>
      <w:adjustRightInd w:val="0"/>
      <w:spacing w:after="0" w:line="240" w:lineRule="auto"/>
      <w:textAlignment w:val="baseline"/>
    </w:pPr>
    <w:rPr>
      <w:rFonts w:ascii="CG Times 12pt" w:hAnsi="CG Times 12pt"/>
      <w:sz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ocstoc.com/docs/32909565/taken-leerzame-activiteite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585</Words>
  <Characters>3221</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6</cp:revision>
  <dcterms:created xsi:type="dcterms:W3CDTF">2014-01-24T13:53:00Z</dcterms:created>
  <dcterms:modified xsi:type="dcterms:W3CDTF">2014-08-17T09:52:00Z</dcterms:modified>
</cp:coreProperties>
</file>